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E3112" w14:textId="77777777" w:rsidR="00977846" w:rsidRDefault="00977846">
      <w:pPr>
        <w:keepNext/>
        <w:pBdr>
          <w:top w:val="nil"/>
          <w:left w:val="nil"/>
          <w:bottom w:val="nil"/>
          <w:right w:val="nil"/>
          <w:between w:val="nil"/>
        </w:pBdr>
        <w:ind w:left="0"/>
        <w:jc w:val="left"/>
        <w:rPr>
          <w:rFonts w:eastAsia="Arial"/>
          <w:b/>
          <w:color w:val="000000"/>
          <w:sz w:val="32"/>
          <w:szCs w:val="32"/>
        </w:rPr>
      </w:pPr>
    </w:p>
    <w:p w14:paraId="61CE3113" w14:textId="77777777" w:rsidR="00977846" w:rsidRDefault="00FB168B">
      <w:pPr>
        <w:keepNext/>
        <w:pBdr>
          <w:top w:val="nil"/>
          <w:left w:val="nil"/>
          <w:bottom w:val="nil"/>
          <w:right w:val="nil"/>
          <w:between w:val="nil"/>
        </w:pBdr>
        <w:ind w:left="0"/>
        <w:jc w:val="left"/>
        <w:rPr>
          <w:rFonts w:eastAsia="Arial"/>
          <w:b/>
          <w:color w:val="000000"/>
          <w:sz w:val="36"/>
          <w:szCs w:val="36"/>
        </w:rPr>
      </w:pPr>
      <w:r>
        <w:rPr>
          <w:rFonts w:eastAsia="Arial"/>
          <w:b/>
          <w:color w:val="000000"/>
          <w:sz w:val="36"/>
          <w:szCs w:val="36"/>
        </w:rPr>
        <w:t>Order Schedule 8 (Business Continuity and Disaster Recovery)</w:t>
      </w:r>
    </w:p>
    <w:p w14:paraId="61CE3114" w14:textId="77777777" w:rsidR="00977846" w:rsidRDefault="00FB168B">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bookmarkStart w:id="0" w:name="_heading=h.gjdgxs" w:colFirst="0" w:colLast="0"/>
      <w:bookmarkEnd w:id="0"/>
      <w:r>
        <w:rPr>
          <w:rFonts w:eastAsia="Arial"/>
          <w:b/>
          <w:smallCaps/>
          <w:color w:val="000000"/>
          <w:sz w:val="24"/>
          <w:szCs w:val="24"/>
        </w:rPr>
        <w:t>D</w:t>
      </w:r>
      <w:r>
        <w:rPr>
          <w:rFonts w:ascii="Arial Bold" w:eastAsia="Arial Bold" w:hAnsi="Arial Bold" w:cs="Arial Bold"/>
          <w:b/>
          <w:color w:val="000000"/>
          <w:sz w:val="24"/>
          <w:szCs w:val="24"/>
        </w:rPr>
        <w:t>efinitions</w:t>
      </w:r>
    </w:p>
    <w:p w14:paraId="61CE3115"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In this Schedule, the following words shall have the following meanings and they shall supplement Joint Schedule 1 (Definitions):</w:t>
      </w:r>
    </w:p>
    <w:tbl>
      <w:tblPr>
        <w:tblStyle w:val="a"/>
        <w:tblW w:w="8172" w:type="dxa"/>
        <w:tblInd w:w="1008" w:type="dxa"/>
        <w:tblLayout w:type="fixed"/>
        <w:tblLook w:val="0400" w:firstRow="0" w:lastRow="0" w:firstColumn="0" w:lastColumn="0" w:noHBand="0" w:noVBand="1"/>
      </w:tblPr>
      <w:tblGrid>
        <w:gridCol w:w="3065"/>
        <w:gridCol w:w="32"/>
        <w:gridCol w:w="5075"/>
      </w:tblGrid>
      <w:tr w:rsidR="00977846" w14:paraId="61CE3118" w14:textId="77777777">
        <w:tc>
          <w:tcPr>
            <w:tcW w:w="3097" w:type="dxa"/>
            <w:gridSpan w:val="2"/>
          </w:tcPr>
          <w:p w14:paraId="61CE3116"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"BCDR Plan"</w:t>
            </w:r>
          </w:p>
        </w:tc>
        <w:tc>
          <w:tcPr>
            <w:tcW w:w="5075" w:type="dxa"/>
          </w:tcPr>
          <w:p w14:paraId="61CE3117" w14:textId="77777777" w:rsidR="00977846" w:rsidRDefault="00FB168B">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2.2 of this Schedule;</w:t>
            </w:r>
          </w:p>
        </w:tc>
      </w:tr>
      <w:tr w:rsidR="00977846" w14:paraId="61CE311B" w14:textId="77777777">
        <w:tc>
          <w:tcPr>
            <w:tcW w:w="3097" w:type="dxa"/>
            <w:gridSpan w:val="2"/>
          </w:tcPr>
          <w:p w14:paraId="61CE3119"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"Business Continuity Plan"</w:t>
            </w:r>
          </w:p>
        </w:tc>
        <w:tc>
          <w:tcPr>
            <w:tcW w:w="5075" w:type="dxa"/>
          </w:tcPr>
          <w:p w14:paraId="61CE311A" w14:textId="77777777" w:rsidR="00977846" w:rsidRDefault="00FB168B">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2.3.2 of this Schedule;</w:t>
            </w:r>
          </w:p>
        </w:tc>
      </w:tr>
      <w:tr w:rsidR="00977846" w14:paraId="61CE311E" w14:textId="77777777">
        <w:tc>
          <w:tcPr>
            <w:tcW w:w="3065" w:type="dxa"/>
          </w:tcPr>
          <w:p w14:paraId="61CE311C"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"Disaster Recovery Deliverables"</w:t>
            </w:r>
          </w:p>
        </w:tc>
        <w:tc>
          <w:tcPr>
            <w:tcW w:w="5107" w:type="dxa"/>
            <w:gridSpan w:val="2"/>
          </w:tcPr>
          <w:p w14:paraId="61CE311D" w14:textId="77777777" w:rsidR="00977846" w:rsidRDefault="00FB168B">
            <w:pPr>
              <w:numPr>
                <w:ilvl w:val="0"/>
                <w:numId w:val="2"/>
              </w:numPr>
              <w:pBdr>
                <w:top w:val="nil"/>
                <w:left w:val="nil"/>
                <w:bottom w:val="nil"/>
                <w:right w:val="nil"/>
                <w:between w:val="nil"/>
              </w:pBdr>
              <w:tabs>
                <w:tab w:val="left" w:pos="-179"/>
              </w:tabs>
              <w:spacing w:after="120"/>
              <w:jc w:val="left"/>
              <w:rPr>
                <w:rFonts w:eastAsia="Arial"/>
                <w:color w:val="000000"/>
                <w:sz w:val="24"/>
                <w:szCs w:val="24"/>
              </w:rPr>
            </w:pPr>
            <w:r>
              <w:rPr>
                <w:rFonts w:eastAsia="Arial"/>
                <w:color w:val="000000"/>
                <w:sz w:val="24"/>
                <w:szCs w:val="24"/>
              </w:rPr>
              <w:t>the Deliverables embodied in the processes and procedures for restoring the provision of Deliverables following the occurrence of a Disaster;</w:t>
            </w:r>
          </w:p>
        </w:tc>
      </w:tr>
      <w:tr w:rsidR="00977846" w14:paraId="61CE3121" w14:textId="77777777">
        <w:tc>
          <w:tcPr>
            <w:tcW w:w="3097" w:type="dxa"/>
            <w:gridSpan w:val="2"/>
          </w:tcPr>
          <w:p w14:paraId="61CE311F" w14:textId="77777777" w:rsidR="00977846" w:rsidRDefault="00977846">
            <w:pPr>
              <w:pBdr>
                <w:top w:val="nil"/>
                <w:left w:val="nil"/>
                <w:bottom w:val="nil"/>
                <w:right w:val="nil"/>
                <w:between w:val="nil"/>
              </w:pBdr>
              <w:spacing w:after="120"/>
              <w:ind w:left="0" w:firstLine="108"/>
              <w:jc w:val="left"/>
              <w:rPr>
                <w:rFonts w:eastAsia="Arial"/>
                <w:b/>
                <w:color w:val="000000"/>
                <w:sz w:val="24"/>
                <w:szCs w:val="24"/>
              </w:rPr>
            </w:pPr>
          </w:p>
        </w:tc>
        <w:tc>
          <w:tcPr>
            <w:tcW w:w="5075" w:type="dxa"/>
          </w:tcPr>
          <w:p w14:paraId="61CE3120" w14:textId="77777777" w:rsidR="00977846" w:rsidRDefault="00977846">
            <w:pPr>
              <w:pBdr>
                <w:top w:val="nil"/>
                <w:left w:val="nil"/>
                <w:bottom w:val="nil"/>
                <w:right w:val="nil"/>
                <w:between w:val="nil"/>
              </w:pBdr>
              <w:tabs>
                <w:tab w:val="left" w:pos="-9"/>
              </w:tabs>
              <w:spacing w:after="120"/>
              <w:ind w:left="170" w:hanging="170"/>
              <w:jc w:val="left"/>
              <w:rPr>
                <w:rFonts w:eastAsia="Arial"/>
                <w:color w:val="000000"/>
                <w:sz w:val="24"/>
                <w:szCs w:val="24"/>
              </w:rPr>
            </w:pPr>
          </w:p>
        </w:tc>
      </w:tr>
      <w:tr w:rsidR="00977846" w14:paraId="61CE3124" w14:textId="77777777">
        <w:tc>
          <w:tcPr>
            <w:tcW w:w="3097" w:type="dxa"/>
            <w:gridSpan w:val="2"/>
          </w:tcPr>
          <w:p w14:paraId="61CE3122"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"Disaster Recovery Plan"</w:t>
            </w:r>
          </w:p>
        </w:tc>
        <w:tc>
          <w:tcPr>
            <w:tcW w:w="5075" w:type="dxa"/>
          </w:tcPr>
          <w:p w14:paraId="61CE3123" w14:textId="77777777" w:rsidR="00977846" w:rsidRDefault="00FB168B">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2.3.3 of this Schedule;</w:t>
            </w:r>
          </w:p>
        </w:tc>
      </w:tr>
      <w:tr w:rsidR="00977846" w14:paraId="61CE3127" w14:textId="77777777">
        <w:tc>
          <w:tcPr>
            <w:tcW w:w="3097" w:type="dxa"/>
            <w:gridSpan w:val="2"/>
          </w:tcPr>
          <w:p w14:paraId="61CE3125"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"Disaster Recovery System"</w:t>
            </w:r>
          </w:p>
        </w:tc>
        <w:tc>
          <w:tcPr>
            <w:tcW w:w="5075" w:type="dxa"/>
          </w:tcPr>
          <w:p w14:paraId="61CE3126" w14:textId="77777777" w:rsidR="00977846" w:rsidRDefault="00FB168B">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the system embodied in the processes and procedures for restoring the provision of Deliverables following the occurrence of a Disaster;</w:t>
            </w:r>
          </w:p>
        </w:tc>
      </w:tr>
      <w:tr w:rsidR="00977846" w14:paraId="61CE312A" w14:textId="77777777">
        <w:tc>
          <w:tcPr>
            <w:tcW w:w="3097" w:type="dxa"/>
            <w:gridSpan w:val="2"/>
          </w:tcPr>
          <w:p w14:paraId="61CE3128" w14:textId="77777777" w:rsidR="00977846" w:rsidRDefault="00977846">
            <w:pPr>
              <w:pBdr>
                <w:top w:val="nil"/>
                <w:left w:val="nil"/>
                <w:bottom w:val="nil"/>
                <w:right w:val="nil"/>
                <w:between w:val="nil"/>
              </w:pBdr>
              <w:spacing w:after="120"/>
              <w:ind w:left="-108" w:firstLine="108"/>
              <w:jc w:val="left"/>
              <w:rPr>
                <w:rFonts w:eastAsia="Arial"/>
                <w:b/>
                <w:color w:val="000000"/>
                <w:sz w:val="24"/>
                <w:szCs w:val="24"/>
              </w:rPr>
            </w:pPr>
          </w:p>
        </w:tc>
        <w:tc>
          <w:tcPr>
            <w:tcW w:w="5075" w:type="dxa"/>
          </w:tcPr>
          <w:p w14:paraId="61CE3129" w14:textId="77777777" w:rsidR="00977846" w:rsidRDefault="00977846">
            <w:pPr>
              <w:numPr>
                <w:ilvl w:val="0"/>
                <w:numId w:val="2"/>
              </w:numPr>
              <w:pBdr>
                <w:top w:val="nil"/>
                <w:left w:val="nil"/>
                <w:bottom w:val="nil"/>
                <w:right w:val="nil"/>
                <w:between w:val="nil"/>
              </w:pBdr>
              <w:tabs>
                <w:tab w:val="left" w:pos="-179"/>
              </w:tabs>
              <w:spacing w:after="120"/>
              <w:jc w:val="left"/>
              <w:rPr>
                <w:rFonts w:eastAsia="Arial"/>
                <w:color w:val="000000"/>
                <w:sz w:val="24"/>
                <w:szCs w:val="24"/>
              </w:rPr>
            </w:pPr>
          </w:p>
        </w:tc>
      </w:tr>
      <w:tr w:rsidR="00977846" w14:paraId="61CE312D" w14:textId="77777777">
        <w:trPr>
          <w:trHeight w:val="567"/>
        </w:trPr>
        <w:tc>
          <w:tcPr>
            <w:tcW w:w="3097" w:type="dxa"/>
            <w:gridSpan w:val="2"/>
          </w:tcPr>
          <w:p w14:paraId="61CE312B"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"Related Supplier"</w:t>
            </w:r>
          </w:p>
        </w:tc>
        <w:tc>
          <w:tcPr>
            <w:tcW w:w="5075" w:type="dxa"/>
          </w:tcPr>
          <w:p w14:paraId="61CE312C" w14:textId="77777777" w:rsidR="00977846" w:rsidRDefault="00FB168B">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any person who provides Deliverables to the Buyer which are related to the Deliverables from time to time;</w:t>
            </w:r>
          </w:p>
        </w:tc>
      </w:tr>
      <w:tr w:rsidR="00977846" w14:paraId="61CE3130" w14:textId="77777777">
        <w:trPr>
          <w:trHeight w:val="567"/>
        </w:trPr>
        <w:tc>
          <w:tcPr>
            <w:tcW w:w="3097" w:type="dxa"/>
            <w:gridSpan w:val="2"/>
          </w:tcPr>
          <w:p w14:paraId="61CE312E"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"Review Report"</w:t>
            </w:r>
          </w:p>
        </w:tc>
        <w:tc>
          <w:tcPr>
            <w:tcW w:w="5075" w:type="dxa"/>
          </w:tcPr>
          <w:p w14:paraId="61CE312F" w14:textId="77777777" w:rsidR="00977846" w:rsidRDefault="00FB168B">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6.2 of this Schedule; and</w:t>
            </w:r>
          </w:p>
        </w:tc>
      </w:tr>
      <w:tr w:rsidR="00977846" w14:paraId="61CE3133" w14:textId="77777777">
        <w:tc>
          <w:tcPr>
            <w:tcW w:w="3097" w:type="dxa"/>
            <w:gridSpan w:val="2"/>
          </w:tcPr>
          <w:p w14:paraId="61CE3131" w14:textId="77777777" w:rsidR="00977846" w:rsidRDefault="00FB168B">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"Supplier's Proposals"</w:t>
            </w:r>
          </w:p>
        </w:tc>
        <w:tc>
          <w:tcPr>
            <w:tcW w:w="5075" w:type="dxa"/>
          </w:tcPr>
          <w:p w14:paraId="61CE3132" w14:textId="77777777" w:rsidR="00977846" w:rsidRDefault="00FB168B">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has the meaning given to it in Paragraph 6.3 of this Schedule;</w:t>
            </w:r>
          </w:p>
        </w:tc>
      </w:tr>
    </w:tbl>
    <w:p w14:paraId="61CE3134" w14:textId="77777777" w:rsidR="00977846" w:rsidRDefault="00FB168B">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BCDR Plan</w:t>
      </w:r>
    </w:p>
    <w:p w14:paraId="61CE3135"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1" w:name="_heading=h.30j0zll" w:colFirst="0" w:colLast="0"/>
      <w:bookmarkEnd w:id="1"/>
      <w:r>
        <w:rPr>
          <w:rFonts w:eastAsia="Arial"/>
          <w:color w:val="000000"/>
          <w:sz w:val="24"/>
          <w:szCs w:val="24"/>
        </w:rPr>
        <w:t>The Buyer and the Supplier recognise that, where specified in DPS Schedule 4 (DPS Management), CCS shall have the right to enforce the Buyer's rights under this Schedule.</w:t>
      </w:r>
    </w:p>
    <w:p w14:paraId="61CE3136"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At least ninety (90) Working Days prior to the Start Date the Supplier shall prepare and deliver to the Buyer for the Buyer’s written approval a plan (a “BCDR Plan”), which shall detail the processes and arrangements that the Supplier shall follow to:</w:t>
      </w:r>
    </w:p>
    <w:p w14:paraId="61CE3137"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ensure continuity of the business processes and operations supported by the Services following any failure or disruption of any element of the Deliverables; and</w:t>
      </w:r>
    </w:p>
    <w:p w14:paraId="61CE3138"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the recovery of the Deliverables in the event of a Disaster </w:t>
      </w:r>
    </w:p>
    <w:p w14:paraId="61CE3139"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divided into three sections:</w:t>
      </w:r>
    </w:p>
    <w:p w14:paraId="61CE313A"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2" w:name="_heading=h.1fob9te" w:colFirst="0" w:colLast="0"/>
      <w:bookmarkEnd w:id="2"/>
      <w:r>
        <w:rPr>
          <w:rFonts w:eastAsia="Arial"/>
          <w:color w:val="000000"/>
          <w:sz w:val="24"/>
          <w:szCs w:val="24"/>
        </w:rPr>
        <w:t xml:space="preserve">Section 1 which shall set out general principles applicable to the BCDR Plan; </w:t>
      </w:r>
    </w:p>
    <w:p w14:paraId="61CE313B"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3" w:name="_heading=h.3znysh7" w:colFirst="0" w:colLast="0"/>
      <w:bookmarkEnd w:id="3"/>
      <w:r>
        <w:rPr>
          <w:rFonts w:eastAsia="Arial"/>
          <w:color w:val="000000"/>
          <w:sz w:val="24"/>
          <w:szCs w:val="24"/>
        </w:rPr>
        <w:t xml:space="preserve">Section 2 which shall relate to business continuity (the </w:t>
      </w:r>
      <w:r>
        <w:rPr>
          <w:rFonts w:eastAsia="Arial"/>
          <w:b/>
          <w:color w:val="000000"/>
          <w:sz w:val="24"/>
          <w:szCs w:val="24"/>
        </w:rPr>
        <w:t>"Business Continuity Plan"</w:t>
      </w:r>
      <w:r>
        <w:rPr>
          <w:rFonts w:eastAsia="Arial"/>
          <w:color w:val="000000"/>
          <w:sz w:val="24"/>
          <w:szCs w:val="24"/>
        </w:rPr>
        <w:t>); and</w:t>
      </w:r>
    </w:p>
    <w:p w14:paraId="61CE313C"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4" w:name="_heading=h.2et92p0" w:colFirst="0" w:colLast="0"/>
      <w:bookmarkEnd w:id="4"/>
      <w:r>
        <w:rPr>
          <w:rFonts w:eastAsia="Arial"/>
          <w:color w:val="000000"/>
          <w:sz w:val="24"/>
          <w:szCs w:val="24"/>
        </w:rPr>
        <w:t xml:space="preserve">Section 3 which shall relate to disaster recovery (the </w:t>
      </w:r>
      <w:r>
        <w:rPr>
          <w:rFonts w:eastAsia="Arial"/>
          <w:b/>
          <w:color w:val="000000"/>
          <w:sz w:val="24"/>
          <w:szCs w:val="24"/>
        </w:rPr>
        <w:t>"Disaster Recovery Plan"</w:t>
      </w:r>
      <w:r>
        <w:rPr>
          <w:rFonts w:eastAsia="Arial"/>
          <w:color w:val="000000"/>
          <w:sz w:val="24"/>
          <w:szCs w:val="24"/>
        </w:rPr>
        <w:t>).</w:t>
      </w:r>
    </w:p>
    <w:p w14:paraId="61CE313D"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5" w:name="_heading=h.tyjcwt" w:colFirst="0" w:colLast="0"/>
      <w:bookmarkEnd w:id="5"/>
      <w:r>
        <w:rPr>
          <w:rFonts w:eastAsia="Arial"/>
          <w:color w:val="000000"/>
          <w:sz w:val="24"/>
          <w:szCs w:val="24"/>
        </w:rPr>
        <w:t>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14:paraId="61CE313E" w14:textId="77777777" w:rsidR="00977846" w:rsidRDefault="00FB168B">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bookmarkStart w:id="6" w:name="_heading=h.3dy6vkm" w:colFirst="0" w:colLast="0"/>
      <w:bookmarkEnd w:id="6"/>
      <w:r>
        <w:rPr>
          <w:rFonts w:ascii="Arial Bold" w:eastAsia="Arial Bold" w:hAnsi="Arial Bold" w:cs="Arial Bold"/>
          <w:b/>
          <w:color w:val="000000"/>
          <w:sz w:val="24"/>
          <w:szCs w:val="24"/>
        </w:rPr>
        <w:t>General Principles of the BCDR Plan (Section 1)</w:t>
      </w:r>
    </w:p>
    <w:p w14:paraId="61CE313F"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Section 1 of the BCDR Plan shall:</w:t>
      </w:r>
    </w:p>
    <w:p w14:paraId="61CE3140"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how the business continuity and disaster recovery elements of the BCDR Plan link to each other;</w:t>
      </w:r>
    </w:p>
    <w:p w14:paraId="61CE3141"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details of how the invocation of any element of the BCDR Plan may impact upon the provision of the Deliverables and any goods and/or services provided to the Buyer by a Related Supplier;</w:t>
      </w:r>
    </w:p>
    <w:p w14:paraId="61CE3142"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an obligation upon the Supplier to liaise with the Buyer and any Related Suppliers with respect to business continuity and disaster recovery;</w:t>
      </w:r>
    </w:p>
    <w:p w14:paraId="61CE3143"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detail how the BCDR Plan interoperates with any overarching disaster recovery or business continuity plan of the Buyer and any of its other Related Supplier in each case as notified to the Supplier by the Buyer from time to time;</w:t>
      </w:r>
    </w:p>
    <w:p w14:paraId="61CE3144"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 communication strategy including details of an incident and problem management service and advice and help desk facility which can be accessed via multiple channels;</w:t>
      </w:r>
    </w:p>
    <w:p w14:paraId="61CE3145" w14:textId="77777777" w:rsidR="00977846" w:rsidRDefault="00FB168B">
      <w:pPr>
        <w:keepNext/>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 risk analysis, including:</w:t>
      </w:r>
    </w:p>
    <w:p w14:paraId="61CE3146" w14:textId="77777777" w:rsidR="00977846" w:rsidRDefault="00FB168B">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failure or disruption scenarios and assessments of likely frequency of occurrence;</w:t>
      </w:r>
    </w:p>
    <w:p w14:paraId="61CE3147" w14:textId="77777777" w:rsidR="00977846" w:rsidRDefault="00FB168B">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identification of any single points of failure within the provision of Deliverables and processes for managing those risks;</w:t>
      </w:r>
    </w:p>
    <w:p w14:paraId="61CE3148" w14:textId="77777777" w:rsidR="00977846" w:rsidRDefault="00FB168B">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identification of risks arising from the interaction of the provision of Deliverables with the goods and/or services provided by a Related Supplier; and</w:t>
      </w:r>
    </w:p>
    <w:p w14:paraId="61CE3149" w14:textId="77777777" w:rsidR="00977846" w:rsidRDefault="00FB168B">
      <w:pPr>
        <w:numPr>
          <w:ilvl w:val="3"/>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a business impact analysis of different anticipated failures or disruptions;</w:t>
      </w:r>
    </w:p>
    <w:p w14:paraId="61CE314A"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for documentation of processes, including business processes, and procedures;</w:t>
      </w:r>
    </w:p>
    <w:p w14:paraId="61CE314B"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key contact details for the Supplier (and any Subcontractors) and for the Buyer;</w:t>
      </w:r>
    </w:p>
    <w:p w14:paraId="61CE314C"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identify the procedures for reverting to "normal service";</w:t>
      </w:r>
    </w:p>
    <w:p w14:paraId="61CE314D"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method(s) of recovering or updating data collected (or which ought to have been collected) during a failure or disruption to minimise data loss;</w:t>
      </w:r>
    </w:p>
    <w:p w14:paraId="61CE314E"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identify the responsibilities (if any) that the Buyer has agreed it will assume in the event of the invocation of the BCDR Plan; and</w:t>
      </w:r>
    </w:p>
    <w:p w14:paraId="61CE314F"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for the provision of technical assistance to key contacts at the Buyer as required by the Buyer to inform decisions in support of the Buyer’s business continuity plans.</w:t>
      </w:r>
    </w:p>
    <w:p w14:paraId="61CE3150"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designed so as to ensure that:</w:t>
      </w:r>
    </w:p>
    <w:p w14:paraId="61CE3151"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Deliverables are provided in accordance with this Contract at all times during and after the invocation of the BCDR Plan;</w:t>
      </w:r>
    </w:p>
    <w:p w14:paraId="61CE3152"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the adverse impact of any Disaster is minimised as far as reasonably possible; </w:t>
      </w:r>
    </w:p>
    <w:p w14:paraId="61CE3153"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it complies with the relevant provisions of ISO/IEC 27002; ISO22301/ISO22313   and all other industry standards from time to time in force; and</w:t>
      </w:r>
    </w:p>
    <w:p w14:paraId="61CE3154"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it details a process for the management of disaster recovery testing.</w:t>
      </w:r>
    </w:p>
    <w:p w14:paraId="61CE3155"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upgradeable and sufficiently flexible to support any changes to the Deliverables and the business operations supported by the provision of Deliverables.</w:t>
      </w:r>
    </w:p>
    <w:p w14:paraId="61CE3156"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not be entitled to any relief from its obligations under the Performance Indicators (PI’s) or Service Levels, or to any increase in the Charges to the extent that a Disaster occurs as a consequence of any breach by the Supplier of this Contract.</w:t>
      </w:r>
    </w:p>
    <w:p w14:paraId="61CE3157" w14:textId="77777777" w:rsidR="00977846" w:rsidRDefault="00FB168B">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Business Continuity (Section 2)</w:t>
      </w:r>
    </w:p>
    <w:p w14:paraId="61CE3158"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7" w:name="_heading=h.1t3h5sf" w:colFirst="0" w:colLast="0"/>
      <w:bookmarkEnd w:id="7"/>
      <w:r>
        <w:rPr>
          <w:rFonts w:eastAsia="Arial"/>
          <w:color w:val="000000"/>
          <w:sz w:val="24"/>
          <w:szCs w:val="24"/>
        </w:rPr>
        <w:t>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14:paraId="61CE3159"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alternative processes, options and responsibilities that may be adopted in the event of a failure in or disruption to the provision of Deliverables; and</w:t>
      </w:r>
    </w:p>
    <w:p w14:paraId="61CE315A"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steps to be taken by the Supplier upon resumption of the provision of Deliverables in order to address the effect of the failure or disruption.</w:t>
      </w:r>
    </w:p>
    <w:p w14:paraId="61CE315B"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lastRenderedPageBreak/>
        <w:t>The Business Continuity Plan shall:</w:t>
      </w:r>
    </w:p>
    <w:p w14:paraId="61CE315C"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address the various possible levels of failures of or disruptions to the provision of Deliverables;</w:t>
      </w:r>
    </w:p>
    <w:p w14:paraId="61CE315D"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8" w:name="_heading=h.4d34og8" w:colFirst="0" w:colLast="0"/>
      <w:bookmarkEnd w:id="8"/>
      <w:r>
        <w:rPr>
          <w:rFonts w:eastAsia="Arial"/>
          <w:color w:val="000000"/>
          <w:sz w:val="24"/>
          <w:szCs w:val="24"/>
        </w:rPr>
        <w:t>set out the goods and/or services to be provided and the steps to be taken to remedy the different levels of failures of and disruption to the Deliverables;</w:t>
      </w:r>
    </w:p>
    <w:p w14:paraId="61CE315E"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specify any applicable Performance Indicators with respect to the provision of the Business Continuity Services and details of any agreed relaxation to the Performance Indicators or Service Levels in respect of the provision of other Deliverables during any period of invocation of the Business Continuity Plan; and</w:t>
      </w:r>
    </w:p>
    <w:p w14:paraId="61CE315F"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the circumstances in which the Business Continuity Plan is invoked.</w:t>
      </w:r>
    </w:p>
    <w:p w14:paraId="61CE3160" w14:textId="77777777" w:rsidR="00977846" w:rsidRDefault="00FB168B">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Disaster Recovery (Section 3)</w:t>
      </w:r>
    </w:p>
    <w:p w14:paraId="61CE3161"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9" w:name="_heading=h.2s8eyo1" w:colFirst="0" w:colLast="0"/>
      <w:bookmarkEnd w:id="9"/>
      <w:r>
        <w:rPr>
          <w:rFonts w:eastAsia="Arial"/>
          <w:color w:val="000000"/>
          <w:sz w:val="24"/>
          <w:szCs w:val="24"/>
        </w:rPr>
        <w:t>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14:paraId="61CE3162"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Supplier's BCDR Plan shall include an approach to business continuity and disaster recovery that addresses the following:</w:t>
      </w:r>
    </w:p>
    <w:p w14:paraId="61CE3163"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access to the Buyer Premises;</w:t>
      </w:r>
    </w:p>
    <w:p w14:paraId="61CE3164"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utilities to the Buyer Premises;</w:t>
      </w:r>
    </w:p>
    <w:p w14:paraId="61CE3165"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the Supplier's helpdesk or CAFM system;</w:t>
      </w:r>
    </w:p>
    <w:p w14:paraId="61CE3166"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a Subcontractor;</w:t>
      </w:r>
    </w:p>
    <w:p w14:paraId="61CE3167"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emergency notification and escalation process;</w:t>
      </w:r>
    </w:p>
    <w:p w14:paraId="61CE3168"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contact lists;</w:t>
      </w:r>
    </w:p>
    <w:p w14:paraId="61CE3169"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staff training and awareness;</w:t>
      </w:r>
    </w:p>
    <w:p w14:paraId="61CE316A"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BCDR Plan testing; </w:t>
      </w:r>
    </w:p>
    <w:p w14:paraId="61CE316B"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post implementation review process; </w:t>
      </w:r>
    </w:p>
    <w:p w14:paraId="61CE316C"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applicable Performance Indicators with respect to the provision of the disaster recovery services and details of any agreed relaxation to the Performance Indicators or Service Levels in respect of the provision of other Deliverables during any period of invocation of the Disaster Recovery Plan;</w:t>
      </w:r>
    </w:p>
    <w:p w14:paraId="61CE316D"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details of how the Supplier shall ensure compliance with security standards ensuring that compliance is maintained for any period during which the Disaster Recovery Plan is invoked;</w:t>
      </w:r>
    </w:p>
    <w:p w14:paraId="61CE316E"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access controls to any disaster recovery sites used by the Supplier in relation to its obligations pursuant to this Schedule; and</w:t>
      </w:r>
    </w:p>
    <w:p w14:paraId="61CE316F"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testing and management arrangements.</w:t>
      </w:r>
    </w:p>
    <w:p w14:paraId="61CE3170" w14:textId="77777777" w:rsidR="00977846" w:rsidRDefault="00FB168B">
      <w:pPr>
        <w:keepNext/>
        <w:numPr>
          <w:ilvl w:val="0"/>
          <w:numId w:val="1"/>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eastAsia="Arial Bold" w:hAnsi="Arial Bold" w:cs="Arial Bold"/>
          <w:b/>
          <w:color w:val="000000"/>
          <w:sz w:val="24"/>
          <w:szCs w:val="24"/>
        </w:rPr>
        <w:t>Review and changing the BCDR Plan</w:t>
      </w:r>
    </w:p>
    <w:p w14:paraId="61CE3171"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10" w:name="_heading=h.17dp8vu" w:colFirst="0" w:colLast="0"/>
      <w:bookmarkEnd w:id="10"/>
      <w:r>
        <w:rPr>
          <w:rFonts w:eastAsia="Arial"/>
          <w:color w:val="000000"/>
          <w:sz w:val="24"/>
          <w:szCs w:val="24"/>
        </w:rPr>
        <w:t>The Supplier shall review the BCDR Plan:</w:t>
      </w:r>
    </w:p>
    <w:p w14:paraId="61CE3172"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1" w:name="_heading=h.3rdcrjn" w:colFirst="0" w:colLast="0"/>
      <w:bookmarkEnd w:id="11"/>
      <w:r>
        <w:rPr>
          <w:rFonts w:eastAsia="Arial"/>
          <w:color w:val="000000"/>
          <w:sz w:val="24"/>
          <w:szCs w:val="24"/>
        </w:rPr>
        <w:t>on a regular basis and as a minimum once every six (6) Months;</w:t>
      </w:r>
    </w:p>
    <w:p w14:paraId="61CE3173"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2" w:name="_heading=h.26in1rg" w:colFirst="0" w:colLast="0"/>
      <w:bookmarkEnd w:id="12"/>
      <w:r>
        <w:rPr>
          <w:rFonts w:eastAsia="Arial"/>
          <w:color w:val="000000"/>
          <w:sz w:val="24"/>
          <w:szCs w:val="24"/>
        </w:rPr>
        <w:t>within three (3) calendar Months of the BCDR Plan (or any part) having been invoked pursuant to Paragraph 7; and</w:t>
      </w:r>
    </w:p>
    <w:p w14:paraId="61CE3174"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3" w:name="_heading=h.lnxbz9" w:colFirst="0" w:colLast="0"/>
      <w:bookmarkEnd w:id="13"/>
      <w:r>
        <w:rPr>
          <w:rFonts w:eastAsia="Arial"/>
          <w:color w:val="000000"/>
          <w:sz w:val="24"/>
          <w:szCs w:val="24"/>
        </w:rPr>
        <w:t xml:space="preserve">where the Buyer requests in writing any additional reviews (over and above those provided for in Paragraphs 6.1.1 and 6.1.2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 </w:t>
      </w:r>
    </w:p>
    <w:p w14:paraId="61CE3175"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14" w:name="_heading=h.35nkun2" w:colFirst="0" w:colLast="0"/>
      <w:bookmarkEnd w:id="14"/>
      <w:r>
        <w:rPr>
          <w:rFonts w:eastAsia="Arial"/>
          <w:color w:val="000000"/>
          <w:sz w:val="24"/>
          <w:szCs w:val="24"/>
        </w:rPr>
        <w:t xml:space="preserve">Each review of the BCDR Plan pursuant to Paragraph 6.1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  </w:t>
      </w:r>
    </w:p>
    <w:p w14:paraId="61CE3176"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15" w:name="_heading=h.1ksv4uv" w:colFirst="0" w:colLast="0"/>
      <w:bookmarkEnd w:id="15"/>
      <w:r>
        <w:rPr>
          <w:rFonts w:eastAsia="Arial"/>
          <w:color w:val="000000"/>
          <w:sz w:val="24"/>
          <w:szCs w:val="24"/>
        </w:rPr>
        <w:t xml:space="preserve">The Supplier shall, within twenty (20) Working Days of the conclusion of each such review of the BCDR Plan, provide to the Buyer a report (a </w:t>
      </w:r>
      <w:r>
        <w:rPr>
          <w:rFonts w:eastAsia="Arial"/>
          <w:b/>
          <w:color w:val="000000"/>
          <w:sz w:val="24"/>
          <w:szCs w:val="24"/>
        </w:rPr>
        <w:t>"Review Report"</w:t>
      </w:r>
      <w:r>
        <w:rPr>
          <w:rFonts w:eastAsia="Arial"/>
          <w:color w:val="000000"/>
          <w:sz w:val="24"/>
          <w:szCs w:val="24"/>
        </w:rPr>
        <w:t xml:space="preserve">) setting out the Supplier's proposals (the </w:t>
      </w:r>
      <w:r>
        <w:rPr>
          <w:rFonts w:eastAsia="Arial"/>
          <w:b/>
          <w:color w:val="000000"/>
          <w:sz w:val="24"/>
          <w:szCs w:val="24"/>
        </w:rPr>
        <w:t>"Supplier's Proposals"</w:t>
      </w:r>
      <w:r>
        <w:rPr>
          <w:rFonts w:eastAsia="Arial"/>
          <w:color w:val="000000"/>
          <w:sz w:val="24"/>
          <w:szCs w:val="24"/>
        </w:rPr>
        <w:t>) for addressing any changes in the risk profile and its proposals for amendments to the BCDR Plan.</w:t>
      </w:r>
    </w:p>
    <w:p w14:paraId="61CE3177"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16" w:name="_heading=h.44sinio" w:colFirst="0" w:colLast="0"/>
      <w:bookmarkEnd w:id="16"/>
      <w:r>
        <w:rPr>
          <w:rFonts w:eastAsia="Arial"/>
          <w:color w:val="000000"/>
          <w:sz w:val="24"/>
          <w:szCs w:val="24"/>
        </w:rPr>
        <w:t xml:space="preserve">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 </w:t>
      </w:r>
    </w:p>
    <w:p w14:paraId="61CE3178"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14:paraId="61CE3179" w14:textId="77777777" w:rsidR="00977846" w:rsidRDefault="00FB168B">
      <w:pPr>
        <w:keepNext/>
        <w:numPr>
          <w:ilvl w:val="0"/>
          <w:numId w:val="1"/>
        </w:numPr>
        <w:pBdr>
          <w:top w:val="nil"/>
          <w:left w:val="nil"/>
          <w:bottom w:val="nil"/>
          <w:right w:val="nil"/>
          <w:between w:val="nil"/>
        </w:pBdr>
        <w:tabs>
          <w:tab w:val="left" w:pos="0"/>
        </w:tabs>
        <w:spacing w:before="240"/>
        <w:ind w:left="504"/>
        <w:jc w:val="left"/>
        <w:rPr>
          <w:rFonts w:ascii="Arial Bold" w:eastAsia="Arial Bold" w:hAnsi="Arial Bold" w:cs="Arial Bold"/>
          <w:b/>
          <w:color w:val="000000"/>
          <w:sz w:val="24"/>
          <w:szCs w:val="24"/>
        </w:rPr>
      </w:pPr>
      <w:bookmarkStart w:id="17" w:name="_heading=h.2jxsxqh" w:colFirst="0" w:colLast="0"/>
      <w:bookmarkEnd w:id="17"/>
      <w:r>
        <w:rPr>
          <w:rFonts w:ascii="Arial Bold" w:eastAsia="Arial Bold" w:hAnsi="Arial Bold" w:cs="Arial Bold"/>
          <w:b/>
          <w:color w:val="000000"/>
          <w:sz w:val="24"/>
          <w:szCs w:val="24"/>
        </w:rPr>
        <w:lastRenderedPageBreak/>
        <w:t>Testing the BCDR Plan</w:t>
      </w:r>
    </w:p>
    <w:p w14:paraId="61CE317A"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18" w:name="_heading=h.z337ya" w:colFirst="0" w:colLast="0"/>
      <w:bookmarkEnd w:id="18"/>
      <w:r>
        <w:rPr>
          <w:rFonts w:eastAsia="Arial"/>
          <w:color w:val="000000"/>
          <w:sz w:val="24"/>
          <w:szCs w:val="24"/>
        </w:rPr>
        <w:t xml:space="preserve">The Supplier shall test the BCDR Plan: </w:t>
      </w:r>
    </w:p>
    <w:p w14:paraId="61CE317B"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regularly and in any event not less than once in every Contract Year;</w:t>
      </w:r>
    </w:p>
    <w:p w14:paraId="61CE317C"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in the event of any major reconfiguration of the Deliverables</w:t>
      </w:r>
    </w:p>
    <w:p w14:paraId="61CE317D"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at any time where the Buyer considers it necessary (acting in its sole discretion).  </w:t>
      </w:r>
    </w:p>
    <w:p w14:paraId="61CE317E"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19" w:name="_heading=h.3j2qqm3" w:colFirst="0" w:colLast="0"/>
      <w:bookmarkEnd w:id="19"/>
      <w:r>
        <w:rPr>
          <w:rFonts w:eastAsia="Arial"/>
          <w:color w:val="000000"/>
          <w:sz w:val="24"/>
          <w:szCs w:val="24"/>
        </w:rPr>
        <w:t>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14:paraId="61CE317F"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 xml:space="preserve">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 </w:t>
      </w:r>
    </w:p>
    <w:p w14:paraId="61CE3180"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14:paraId="61CE3181" w14:textId="77777777" w:rsidR="00977846" w:rsidRDefault="00FB168B">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within twenty (20) Working Days of the conclusion of each test, provide to the Buyer a report setting out:</w:t>
      </w:r>
    </w:p>
    <w:p w14:paraId="61CE3182"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outcome of the test;</w:t>
      </w:r>
    </w:p>
    <w:p w14:paraId="61CE3183"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failures in the BCDR Plan (including the BCDR Plan's procedures) revealed by the test; and</w:t>
      </w:r>
    </w:p>
    <w:p w14:paraId="61CE3184" w14:textId="77777777" w:rsidR="00977846" w:rsidRDefault="00FB168B">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Supplier's proposals for remedying any such failures.</w:t>
      </w:r>
    </w:p>
    <w:p w14:paraId="61CE3185"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bookmarkStart w:id="20" w:name="_heading=h.1y810tw" w:colFirst="0" w:colLast="0"/>
      <w:bookmarkEnd w:id="20"/>
      <w:r>
        <w:rPr>
          <w:rFonts w:eastAsia="Arial"/>
          <w:color w:val="000000"/>
          <w:sz w:val="24"/>
          <w:szCs w:val="24"/>
        </w:rPr>
        <w:t>Following each test, the Supplier shall take all measures requested by the Buyer to remedy any failures in the BCDR Plan and such remedial activity and re-testing shall be completed by the Supplier, at its own cost, by the date reasonably required by the Buyer.</w:t>
      </w:r>
    </w:p>
    <w:p w14:paraId="61CE3186" w14:textId="77777777" w:rsidR="00977846" w:rsidRDefault="00FB168B">
      <w:pPr>
        <w:keepNext/>
        <w:numPr>
          <w:ilvl w:val="0"/>
          <w:numId w:val="1"/>
        </w:numPr>
        <w:pBdr>
          <w:top w:val="nil"/>
          <w:left w:val="nil"/>
          <w:bottom w:val="nil"/>
          <w:right w:val="nil"/>
          <w:between w:val="nil"/>
        </w:pBdr>
        <w:tabs>
          <w:tab w:val="left" w:pos="0"/>
        </w:tabs>
        <w:spacing w:before="240"/>
        <w:jc w:val="left"/>
        <w:rPr>
          <w:rFonts w:ascii="Arial Bold" w:eastAsia="Arial Bold" w:hAnsi="Arial Bold" w:cs="Arial Bold"/>
          <w:b/>
          <w:color w:val="000000"/>
          <w:sz w:val="24"/>
          <w:szCs w:val="24"/>
        </w:rPr>
      </w:pPr>
      <w:bookmarkStart w:id="21" w:name="_heading=h.4i7ojhp" w:colFirst="0" w:colLast="0"/>
      <w:bookmarkEnd w:id="21"/>
      <w:r>
        <w:rPr>
          <w:rFonts w:ascii="Arial Bold" w:eastAsia="Arial Bold" w:hAnsi="Arial Bold" w:cs="Arial Bold"/>
          <w:b/>
          <w:color w:val="000000"/>
          <w:sz w:val="24"/>
          <w:szCs w:val="24"/>
        </w:rPr>
        <w:t>Invoking the BCDR Plan</w:t>
      </w:r>
    </w:p>
    <w:p w14:paraId="61CE3187"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14:paraId="61CE3188" w14:textId="77777777" w:rsidR="00977846" w:rsidRDefault="00FB168B">
      <w:pPr>
        <w:keepNext/>
        <w:numPr>
          <w:ilvl w:val="0"/>
          <w:numId w:val="1"/>
        </w:numPr>
        <w:pBdr>
          <w:top w:val="nil"/>
          <w:left w:val="nil"/>
          <w:bottom w:val="nil"/>
          <w:right w:val="nil"/>
          <w:between w:val="nil"/>
        </w:pBdr>
        <w:tabs>
          <w:tab w:val="left" w:pos="0"/>
        </w:tabs>
        <w:spacing w:before="240"/>
        <w:ind w:left="504"/>
        <w:jc w:val="left"/>
        <w:rPr>
          <w:rFonts w:eastAsia="Arial"/>
          <w:b/>
          <w:smallCaps/>
          <w:color w:val="000000"/>
          <w:sz w:val="24"/>
          <w:szCs w:val="24"/>
        </w:rPr>
      </w:pPr>
      <w:r>
        <w:rPr>
          <w:rFonts w:eastAsia="Arial"/>
          <w:b/>
          <w:smallCaps/>
          <w:color w:val="000000"/>
          <w:sz w:val="24"/>
          <w:szCs w:val="24"/>
        </w:rPr>
        <w:t>C</w:t>
      </w:r>
      <w:r>
        <w:rPr>
          <w:rFonts w:ascii="Arial Bold" w:eastAsia="Arial Bold" w:hAnsi="Arial Bold" w:cs="Arial Bold"/>
          <w:b/>
          <w:color w:val="000000"/>
          <w:sz w:val="24"/>
          <w:szCs w:val="24"/>
        </w:rPr>
        <w:t>ircumstances beyond your control</w:t>
      </w:r>
    </w:p>
    <w:p w14:paraId="61CE3189" w14:textId="77777777" w:rsidR="00977846" w:rsidRDefault="00FB168B">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 xml:space="preserve">The Supplier shall not be entitled to relief under Clause 20 (Circumstances beyond your control) if it would not have been impacted by the Force Majeure Event had it not failed to comply with its obligations under this Schedule. </w:t>
      </w:r>
    </w:p>
    <w:sectPr w:rsidR="00977846">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80304" w14:textId="77777777" w:rsidR="008102A9" w:rsidRDefault="008102A9">
      <w:pPr>
        <w:spacing w:after="0"/>
      </w:pPr>
      <w:r>
        <w:separator/>
      </w:r>
    </w:p>
  </w:endnote>
  <w:endnote w:type="continuationSeparator" w:id="0">
    <w:p w14:paraId="10F6182A" w14:textId="77777777" w:rsidR="008102A9" w:rsidRDefault="008102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318E" w14:textId="77777777" w:rsidR="00977846" w:rsidRDefault="00977846">
    <w:pPr>
      <w:tabs>
        <w:tab w:val="center" w:pos="4513"/>
        <w:tab w:val="right" w:pos="9026"/>
      </w:tabs>
      <w:spacing w:after="0"/>
      <w:ind w:left="0"/>
      <w:rPr>
        <w:rFonts w:ascii="Calibri" w:eastAsia="Calibri" w:hAnsi="Calibri" w:cs="Calibri"/>
        <w:color w:val="A6A6A6"/>
      </w:rPr>
    </w:pPr>
  </w:p>
  <w:p w14:paraId="61CE318F" w14:textId="21755D84" w:rsidR="00977846" w:rsidRDefault="00FB168B">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sz w:val="20"/>
        <w:szCs w:val="20"/>
      </w:rPr>
      <w:tab/>
    </w:r>
    <w:r>
      <w:rPr>
        <w:rFonts w:eastAsia="Arial"/>
        <w:color w:val="000000"/>
        <w:sz w:val="20"/>
        <w:szCs w:val="20"/>
      </w:rPr>
      <w:t>DPS Ref: RM6173</w:t>
    </w:r>
    <w:r>
      <w:rPr>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Pr>
        <w:rFonts w:eastAsia="Arial"/>
        <w:noProof/>
        <w:color w:val="000000"/>
        <w:sz w:val="20"/>
        <w:szCs w:val="20"/>
      </w:rPr>
      <w:t>4</w:t>
    </w:r>
    <w:r>
      <w:rPr>
        <w:rFonts w:eastAsia="Arial"/>
        <w:color w:val="000000"/>
        <w:sz w:val="20"/>
        <w:szCs w:val="20"/>
      </w:rPr>
      <w:fldChar w:fldCharType="end"/>
    </w:r>
  </w:p>
  <w:p w14:paraId="61CE3190" w14:textId="77777777" w:rsidR="00977846" w:rsidRDefault="00FB168B">
    <w:pPr>
      <w:pBdr>
        <w:top w:val="nil"/>
        <w:left w:val="nil"/>
        <w:bottom w:val="nil"/>
        <w:right w:val="nil"/>
        <w:between w:val="nil"/>
      </w:pBdr>
      <w:tabs>
        <w:tab w:val="center" w:pos="4513"/>
        <w:tab w:val="right" w:pos="9026"/>
      </w:tabs>
      <w:spacing w:after="0"/>
      <w:ind w:left="0" w:hanging="1418"/>
      <w:rPr>
        <w:rFonts w:eastAsia="Arial"/>
        <w:color w:val="A6A6A6"/>
        <w:sz w:val="20"/>
        <w:szCs w:val="20"/>
      </w:rPr>
    </w:pPr>
    <w:r>
      <w:rPr>
        <w:sz w:val="20"/>
        <w:szCs w:val="20"/>
      </w:rPr>
      <w:tab/>
    </w:r>
    <w:r>
      <w:rPr>
        <w:rFonts w:eastAsia="Arial"/>
        <w:color w:val="000000"/>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3191" w14:textId="77777777" w:rsidR="00977846" w:rsidRDefault="00FB168B">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rFonts w:eastAsia="Arial"/>
        <w:color w:val="000000"/>
        <w:sz w:val="20"/>
        <w:szCs w:val="20"/>
      </w:rPr>
      <w:t>Framework Ref: RM</w:t>
    </w:r>
    <w:r>
      <w:rPr>
        <w:rFonts w:eastAsia="Arial"/>
        <w:color w:val="000000"/>
        <w:sz w:val="20"/>
        <w:szCs w:val="20"/>
      </w:rPr>
      <w:tab/>
      <w:t xml:space="preserve">                                           </w:t>
    </w:r>
  </w:p>
  <w:p w14:paraId="61CE3192" w14:textId="77777777" w:rsidR="00977846" w:rsidRDefault="00FB168B">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tab/>
      <w:t>-</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end"/>
    </w:r>
    <w:r>
      <w:rPr>
        <w:rFonts w:eastAsia="Arial"/>
        <w:color w:val="000000"/>
        <w:sz w:val="20"/>
        <w:szCs w:val="20"/>
      </w:rPr>
      <w:t>-</w:t>
    </w:r>
  </w:p>
  <w:p w14:paraId="61CE3193" w14:textId="77777777" w:rsidR="00977846" w:rsidRDefault="00FB168B">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rFonts w:eastAsia="Arial"/>
        <w:color w:val="000000"/>
        <w:sz w:val="20"/>
        <w:szCs w:val="20"/>
      </w:rPr>
      <w:t>Model Version: v2.9</w:t>
    </w:r>
    <w:r>
      <w:rPr>
        <w:rFonts w:eastAsia="Arial"/>
        <w:color w:val="000000"/>
        <w:sz w:val="20"/>
        <w:szCs w:val="20"/>
      </w:rPr>
      <w:tab/>
    </w:r>
    <w:r>
      <w:rPr>
        <w:rFonts w:eastAsia="Arial"/>
        <w:color w:val="000000"/>
        <w:sz w:val="20"/>
        <w:szCs w:val="20"/>
      </w:rPr>
      <w:tab/>
    </w:r>
    <w:r>
      <w:rPr>
        <w:rFonts w:eastAsia="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92733" w14:textId="77777777" w:rsidR="008102A9" w:rsidRDefault="008102A9">
      <w:pPr>
        <w:spacing w:after="0"/>
      </w:pPr>
      <w:r>
        <w:separator/>
      </w:r>
    </w:p>
  </w:footnote>
  <w:footnote w:type="continuationSeparator" w:id="0">
    <w:p w14:paraId="3D14C648" w14:textId="77777777" w:rsidR="008102A9" w:rsidRDefault="008102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318A" w14:textId="77777777" w:rsidR="00977846" w:rsidRDefault="00FB168B">
    <w:pPr>
      <w:tabs>
        <w:tab w:val="center" w:pos="4513"/>
        <w:tab w:val="right" w:pos="9026"/>
      </w:tabs>
      <w:spacing w:after="0"/>
      <w:ind w:left="0"/>
      <w:jc w:val="left"/>
      <w:rPr>
        <w:sz w:val="20"/>
        <w:szCs w:val="20"/>
      </w:rPr>
    </w:pPr>
    <w:r>
      <w:rPr>
        <w:sz w:val="20"/>
        <w:szCs w:val="20"/>
      </w:rPr>
      <w:t>Order Schedule 8 (Business Continuity and Disaster Recovery)</w:t>
    </w:r>
  </w:p>
  <w:p w14:paraId="61CE318B" w14:textId="77777777" w:rsidR="00977846" w:rsidRDefault="00FB168B">
    <w:pPr>
      <w:tabs>
        <w:tab w:val="center" w:pos="4513"/>
        <w:tab w:val="right" w:pos="9026"/>
      </w:tabs>
      <w:spacing w:after="0"/>
      <w:ind w:left="0"/>
      <w:jc w:val="left"/>
      <w:rPr>
        <w:sz w:val="20"/>
        <w:szCs w:val="20"/>
      </w:rPr>
    </w:pPr>
    <w:r>
      <w:rPr>
        <w:sz w:val="20"/>
        <w:szCs w:val="20"/>
      </w:rPr>
      <w:t>Order Ref:</w:t>
    </w:r>
  </w:p>
  <w:p w14:paraId="61CE318C" w14:textId="328D0C54" w:rsidR="00977846" w:rsidRDefault="00FB168B">
    <w:pPr>
      <w:tabs>
        <w:tab w:val="center" w:pos="4513"/>
        <w:tab w:val="right" w:pos="9026"/>
      </w:tabs>
      <w:spacing w:after="0"/>
      <w:ind w:left="0"/>
      <w:jc w:val="left"/>
      <w:rPr>
        <w:sz w:val="20"/>
        <w:szCs w:val="20"/>
      </w:rPr>
    </w:pPr>
    <w:r>
      <w:rPr>
        <w:sz w:val="20"/>
        <w:szCs w:val="20"/>
      </w:rPr>
      <w:t>Crown Copyright 20</w:t>
    </w:r>
    <w:r w:rsidR="007B1842">
      <w:rPr>
        <w:sz w:val="20"/>
        <w:szCs w:val="20"/>
      </w:rPr>
      <w:t>20</w:t>
    </w:r>
  </w:p>
  <w:p w14:paraId="61CE318D" w14:textId="77777777" w:rsidR="00977846" w:rsidRDefault="00977846">
    <w:pPr>
      <w:tabs>
        <w:tab w:val="center" w:pos="4513"/>
        <w:tab w:val="right" w:pos="9026"/>
      </w:tabs>
      <w:spacing w:after="0"/>
      <w:ind w:left="0"/>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C524C"/>
    <w:multiLevelType w:val="multilevel"/>
    <w:tmpl w:val="E3DAB232"/>
    <w:lvl w:ilvl="0">
      <w:start w:val="1"/>
      <w:numFmt w:val="decimal"/>
      <w:pStyle w:val="GPSL1CLAUSEHEADING"/>
      <w:lvlText w:val="%1."/>
      <w:lvlJc w:val="left"/>
      <w:pPr>
        <w:ind w:left="720" w:hanging="720"/>
      </w:pPr>
      <w:rPr>
        <w:smallCaps w:val="0"/>
        <w:strike w:val="0"/>
        <w:color w:val="000000"/>
        <w:u w:val="none"/>
        <w:vertAlign w:val="baseline"/>
      </w:rPr>
    </w:lvl>
    <w:lvl w:ilvl="1">
      <w:start w:val="1"/>
      <w:numFmt w:val="decimal"/>
      <w:pStyle w:val="GPSL2numberedclause"/>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pStyle w:val="GPSL3numberedclause"/>
      <w:lvlText w:val="%1.%2.%3"/>
      <w:lvlJc w:val="left"/>
      <w:pPr>
        <w:ind w:left="1440" w:hanging="720"/>
      </w:pPr>
      <w:rPr>
        <w:i w:val="0"/>
        <w:smallCaps w:val="0"/>
        <w:strike w:val="0"/>
        <w:color w:val="000000"/>
        <w:u w:val="none"/>
        <w:vertAlign w:val="baseline"/>
      </w:rPr>
    </w:lvl>
    <w:lvl w:ilvl="3">
      <w:start w:val="1"/>
      <w:numFmt w:val="lowerLetter"/>
      <w:pStyle w:val="GPSL4numberedclause"/>
      <w:lvlText w:val="(%4)"/>
      <w:lvlJc w:val="left"/>
      <w:pPr>
        <w:ind w:left="1440" w:hanging="720"/>
      </w:pPr>
      <w:rPr>
        <w:rFonts w:ascii="Calibri" w:eastAsia="Calibri" w:hAnsi="Calibri" w:cs="Calibri"/>
        <w:i w:val="0"/>
        <w:smallCaps w:val="0"/>
        <w:strike w:val="0"/>
        <w:color w:val="000000"/>
        <w:u w:val="none"/>
        <w:vertAlign w:val="baseline"/>
      </w:rPr>
    </w:lvl>
    <w:lvl w:ilvl="4">
      <w:start w:val="1"/>
      <w:numFmt w:val="lowerRoman"/>
      <w:pStyle w:val="GPSL5numberedclause"/>
      <w:lvlText w:val="(%5)"/>
      <w:lvlJc w:val="left"/>
      <w:pPr>
        <w:ind w:left="3207" w:hanging="1080"/>
      </w:pPr>
      <w:rPr>
        <w:b w:val="0"/>
        <w:i w:val="0"/>
        <w:smallCaps w:val="0"/>
        <w:strike w:val="0"/>
        <w:color w:val="000000"/>
        <w:u w:val="none"/>
        <w:vertAlign w:val="baseline"/>
      </w:rPr>
    </w:lvl>
    <w:lvl w:ilvl="5">
      <w:start w:val="1"/>
      <w:numFmt w:val="upperLetter"/>
      <w:pStyle w:val="GPSL6numbered"/>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 w15:restartNumberingAfterBreak="0">
    <w:nsid w:val="610847F2"/>
    <w:multiLevelType w:val="multilevel"/>
    <w:tmpl w:val="8DD46B64"/>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846"/>
    <w:rsid w:val="003621CC"/>
    <w:rsid w:val="007B1842"/>
    <w:rsid w:val="008102A9"/>
    <w:rsid w:val="00977846"/>
    <w:rsid w:val="00D3225A"/>
    <w:rsid w:val="00FB16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E3112"/>
  <w15:docId w15:val="{89830CD5-204C-42F7-9F9B-43105582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after="240"/>
        <w:ind w:left="141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pPr>
      <w:numPr>
        <w:numId w:val="1"/>
      </w:numPr>
      <w:tabs>
        <w:tab w:val="left" w:pos="0"/>
      </w:tabs>
      <w:overflowPunct/>
      <w:autoSpaceDE/>
      <w:autoSpaceDN/>
      <w:spacing w:before="240"/>
      <w:ind w:left="360" w:hanging="360"/>
      <w:textAlignment w:val="auto"/>
      <w:outlineLvl w:val="1"/>
    </w:pPr>
    <w:rPr>
      <w:rFonts w:ascii="Arial Bold" w:eastAsia="STZhongsong" w:hAnsi="Arial Bold"/>
      <w:b/>
      <w:caps/>
      <w:lang w:eastAsia="zh-CN"/>
    </w:rPr>
  </w:style>
  <w:style w:type="paragraph" w:customStyle="1" w:styleId="GPSL2numberedclause">
    <w:name w:val="GPS L2 numbered clause"/>
    <w:basedOn w:val="Normal"/>
    <w:link w:val="GPSL2numberedclauseChar1"/>
    <w:qFormat/>
    <w:pPr>
      <w:numPr>
        <w:ilvl w:val="1"/>
        <w:numId w:val="1"/>
      </w:numPr>
      <w:overflowPunct/>
      <w:autoSpaceDE/>
      <w:autoSpaceDN/>
      <w:spacing w:before="120" w:after="120"/>
      <w:ind w:left="936" w:hanging="576"/>
      <w:textAlignment w:val="auto"/>
    </w:pPr>
    <w:rPr>
      <w:rFonts w:ascii="Calibri" w:hAnsi="Calibri"/>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592" w:hanging="936"/>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qFormat/>
    <w:pPr>
      <w:numPr>
        <w:ilvl w:val="4"/>
      </w:numPr>
      <w:tabs>
        <w:tab w:val="num" w:pos="360"/>
        <w:tab w:val="left" w:pos="3402"/>
      </w:tabs>
      <w:ind w:left="3402" w:hanging="567"/>
    </w:pPr>
  </w:style>
  <w:style w:type="paragraph" w:customStyle="1" w:styleId="GPSL6numbered">
    <w:name w:val="GPS L6 numbered"/>
    <w:basedOn w:val="GPSL5numberedclause"/>
    <w:qFormat/>
    <w:pPr>
      <w:numPr>
        <w:ilvl w:val="5"/>
      </w:numPr>
      <w:tabs>
        <w:tab w:val="num" w:pos="360"/>
        <w:tab w:val="left" w:pos="4253"/>
      </w:tabs>
      <w:ind w:left="4253" w:hanging="709"/>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numPr>
        <w:numId w:val="2"/>
      </w:numPr>
      <w:tabs>
        <w:tab w:val="left" w:pos="-9"/>
      </w:tabs>
      <w:spacing w:after="120"/>
    </w:p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pPr>
      <w:spacing w:after="0"/>
    </w:pPr>
    <w:rPr>
      <w:rFonts w:eastAsia="Times New Roman"/>
    </w:rPr>
  </w:style>
  <w:style w:type="table" w:styleId="TableGrid">
    <w:name w:val="Table Grid"/>
    <w:basedOn w:val="TableNormal"/>
    <w:uiPriority w:val="59"/>
    <w:pPr>
      <w:spacing w:after="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ZfHHy8Z849pjFhiUjr3B0XBILA==">AMUW2mVQfoqgUDP1oeBTEbuNie4GNbfCE7nE+lXwjdJPXDGWVNT6A0PHc8vYlbHcWM3CqcbQKd1gLm7WxbaorEKr+rvjXHL9/XTfMM45o4Av8MYy9v8EYVhoorqEK6KnS+pQ4YERXvJa9Gp6MQmHv/vT+ujqoEoTlxYqqgdfUkEDvTfDSxxC0Ara7nf2arFB1WK0Ur0OIsiftMp7VcP7RyUCNhEapvh3xYsvD8cDSDsPisgKqSqwTMrqKgh88uF6SZpG5ic/ITcq4vLqOEzfPAtuFa0Pp2WT1UjG7M6FaziMKz2vVXHus2SzVY3VhMRAt6r+Pkq1NRsVwKFwiva2+RmXIvBUIo1LXZwYrnXl/6L6K4rTT0cf1Ev7p+d019x+YTnHZ1vbg6O6FUhJ2aL+6qPhftf/yjyZ1+sGS2XVkDKrMUGWO2zl3x0=</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4DB233-37FB-4C59-A3CA-E90FAC3BCCCD}"/>
</file>

<file path=customXml/itemProps3.xml><?xml version="1.0" encoding="utf-8"?>
<ds:datastoreItem xmlns:ds="http://schemas.openxmlformats.org/officeDocument/2006/customXml" ds:itemID="{9D5524DF-22C4-498F-BF4B-D4F9C4145F55}"/>
</file>

<file path=customXml/itemProps4.xml><?xml version="1.0" encoding="utf-8"?>
<ds:datastoreItem xmlns:ds="http://schemas.openxmlformats.org/officeDocument/2006/customXml" ds:itemID="{4F5ED94B-6B4E-450C-9FEA-4BA82077A778}"/>
</file>

<file path=docProps/app.xml><?xml version="1.0" encoding="utf-8"?>
<Properties xmlns="http://schemas.openxmlformats.org/officeDocument/2006/extended-properties" xmlns:vt="http://schemas.openxmlformats.org/officeDocument/2006/docPropsVTypes">
  <Template>Normal</Template>
  <TotalTime>1</TotalTime>
  <Pages>6</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Mulligan</dc:creator>
  <cp:lastModifiedBy>Liz Hobson</cp:lastModifiedBy>
  <cp:revision>2</cp:revision>
  <cp:lastPrinted>2020-02-13T08:10:00Z</cp:lastPrinted>
  <dcterms:created xsi:type="dcterms:W3CDTF">2021-06-25T13:39:00Z</dcterms:created>
  <dcterms:modified xsi:type="dcterms:W3CDTF">2021-06-25T13:39:00Z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ontentTypeId">
    <vt:lpwstr>0x010100DABEEA943F9FB541A5AA9DC9E9C180D5</vt:lpwstr>
  </property>
</Properties>
</file>